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B45ACB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Műszaki leírás</w:t>
      </w:r>
    </w:p>
    <w:p w:rsidR="00D57281" w:rsidRPr="00B45ACB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 w:rsidRPr="001C6442">
        <w:rPr>
          <w:rFonts w:ascii="Times New Roman" w:hAnsi="Times New Roman"/>
          <w:b/>
          <w:i/>
          <w:sz w:val="24"/>
          <w:szCs w:val="24"/>
          <w:lang w:val="hu-HU"/>
        </w:rPr>
        <w:t>I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II</w:t>
      </w:r>
      <w:r w:rsidRPr="001C6442">
        <w:rPr>
          <w:rFonts w:ascii="Times New Roman" w:hAnsi="Times New Roman"/>
          <w:b/>
          <w:i/>
          <w:sz w:val="24"/>
          <w:szCs w:val="24"/>
          <w:lang w:val="hu-HU"/>
        </w:rPr>
        <w:t>. KÖTET</w:t>
      </w: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D57281" w:rsidRDefault="00985EE9" w:rsidP="00D57281">
      <w:pPr>
        <w:spacing w:after="100" w:line="216" w:lineRule="auto"/>
        <w:ind w:right="-3"/>
        <w:jc w:val="center"/>
        <w:rPr>
          <w:b/>
          <w:bCs/>
        </w:rPr>
      </w:pPr>
      <w:bookmarkStart w:id="0" w:name="_Hlk516826758"/>
      <w:r w:rsidRPr="00985EE9">
        <w:rPr>
          <w:b/>
          <w:bCs/>
        </w:rPr>
        <w:t>Magyarországi Románok Országos Önkormányzata fenntartásában lévő Gyulai Románvárosi Óvodában új csoportszoba/Battonyai óvodában belső út kialakítása</w:t>
      </w:r>
      <w:bookmarkStart w:id="1" w:name="_GoBack"/>
      <w:bookmarkEnd w:id="1"/>
    </w:p>
    <w:p w:rsidR="00D57281" w:rsidRDefault="00D57281" w:rsidP="00D57281">
      <w:pPr>
        <w:spacing w:after="100" w:line="216" w:lineRule="auto"/>
        <w:ind w:right="-3"/>
        <w:jc w:val="center"/>
        <w:rPr>
          <w:b/>
          <w:bCs/>
        </w:rPr>
      </w:pPr>
      <w:bookmarkStart w:id="2" w:name="_Hlk531450951"/>
      <w:r w:rsidRPr="00F42B10">
        <w:rPr>
          <w:b/>
          <w:bCs/>
        </w:rPr>
        <w:t xml:space="preserve">5700 </w:t>
      </w:r>
      <w:r>
        <w:rPr>
          <w:b/>
          <w:bCs/>
        </w:rPr>
        <w:t>Gyula</w:t>
      </w:r>
      <w:r w:rsidRPr="00F42B10">
        <w:rPr>
          <w:b/>
          <w:bCs/>
        </w:rPr>
        <w:t xml:space="preserve">, </w:t>
      </w:r>
      <w:r>
        <w:rPr>
          <w:b/>
          <w:bCs/>
        </w:rPr>
        <w:t>Galamb</w:t>
      </w:r>
      <w:r w:rsidRPr="00F42B10">
        <w:rPr>
          <w:b/>
          <w:bCs/>
        </w:rPr>
        <w:t xml:space="preserve"> </w:t>
      </w:r>
      <w:r>
        <w:rPr>
          <w:b/>
          <w:bCs/>
        </w:rPr>
        <w:t>u.</w:t>
      </w:r>
      <w:r w:rsidRPr="00F42B10">
        <w:rPr>
          <w:b/>
          <w:bCs/>
        </w:rPr>
        <w:t xml:space="preserve"> 16</w:t>
      </w:r>
      <w:r>
        <w:rPr>
          <w:b/>
          <w:bCs/>
        </w:rPr>
        <w:t>.</w:t>
      </w:r>
      <w:bookmarkEnd w:id="2"/>
    </w:p>
    <w:p w:rsidR="00D57281" w:rsidRPr="00DE5061" w:rsidRDefault="00D57281" w:rsidP="00D57281">
      <w:pPr>
        <w:spacing w:after="100" w:line="216" w:lineRule="auto"/>
        <w:ind w:right="-3"/>
        <w:jc w:val="center"/>
        <w:rPr>
          <w:bCs/>
        </w:rPr>
      </w:pPr>
      <w:r w:rsidRPr="00F42B10">
        <w:rPr>
          <w:b/>
          <w:bCs/>
        </w:rPr>
        <w:t>(HRSZ. 2510</w:t>
      </w:r>
      <w:bookmarkEnd w:id="0"/>
      <w:r>
        <w:rPr>
          <w:b/>
          <w:bCs/>
        </w:rPr>
        <w:t>)</w:t>
      </w: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Cs/>
        </w:rPr>
      </w:pPr>
      <w:r w:rsidRPr="00DE5061">
        <w:rPr>
          <w:bCs/>
        </w:rPr>
        <w:t>Építési beruházás</w:t>
      </w: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lient"/>
        <w:ind w:right="-3"/>
        <w:jc w:val="center"/>
        <w:rPr>
          <w:rFonts w:ascii="Times New Roman" w:hAnsi="Times New Roman"/>
          <w:bCs/>
          <w:sz w:val="24"/>
          <w:szCs w:val="24"/>
          <w:lang w:val="hu-HU"/>
        </w:rPr>
      </w:pPr>
    </w:p>
    <w:p w:rsidR="00D57281" w:rsidRPr="00DE5061" w:rsidRDefault="00D57281" w:rsidP="00D57281">
      <w:pPr>
        <w:pStyle w:val="Cmsor4"/>
        <w:ind w:right="-3" w:firstLine="0"/>
        <w:jc w:val="center"/>
        <w:rPr>
          <w:b/>
          <w:szCs w:val="24"/>
        </w:rPr>
      </w:pPr>
      <w:r w:rsidRPr="00DE5061">
        <w:rPr>
          <w:b/>
          <w:szCs w:val="24"/>
        </w:rPr>
        <w:t>Ajánlatkérő:</w:t>
      </w:r>
    </w:p>
    <w:p w:rsidR="00D57281" w:rsidRDefault="00D57281" w:rsidP="00D57281">
      <w:pPr>
        <w:spacing w:after="100" w:line="216" w:lineRule="auto"/>
        <w:ind w:right="-3"/>
        <w:jc w:val="center"/>
        <w:rPr>
          <w:bCs/>
        </w:rPr>
      </w:pPr>
      <w:r>
        <w:rPr>
          <w:bCs/>
        </w:rPr>
        <w:t xml:space="preserve">Magyarországi Románok Országos Önkormányzata </w:t>
      </w: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</w:p>
    <w:p w:rsidR="00D57281" w:rsidRPr="00DE5061" w:rsidRDefault="00D57281" w:rsidP="00D57281">
      <w:pPr>
        <w:spacing w:after="100" w:line="216" w:lineRule="auto"/>
        <w:ind w:right="-3"/>
        <w:jc w:val="center"/>
        <w:rPr>
          <w:b/>
        </w:rPr>
      </w:pPr>
      <w:r w:rsidRPr="00DE5061">
        <w:rPr>
          <w:b/>
        </w:rPr>
        <w:t xml:space="preserve">2018. </w:t>
      </w:r>
      <w:r>
        <w:rPr>
          <w:b/>
        </w:rPr>
        <w:t>december</w:t>
      </w:r>
    </w:p>
    <w:p w:rsidR="00D57281" w:rsidRDefault="00D57281">
      <w:pPr>
        <w:spacing w:after="160" w:line="259" w:lineRule="auto"/>
      </w:pPr>
      <w:r>
        <w:br w:type="page"/>
      </w:r>
    </w:p>
    <w:p w:rsidR="00C27244" w:rsidRDefault="00D57281">
      <w:r>
        <w:lastRenderedPageBreak/>
        <w:t>Ajánlatkérő tájékoztatja az Ajánlattevőket, hogy az 1. rész tekintetében a csatolt tervdokumentációban foglaltakhoz képest az alábbiak változtak (a költségvetés már ennek megfelelően készült):</w:t>
      </w:r>
    </w:p>
    <w:p w:rsidR="00D57281" w:rsidRDefault="00D57281" w:rsidP="00D57281">
      <w:pPr>
        <w:pStyle w:val="Listaszerbekezds"/>
        <w:numPr>
          <w:ilvl w:val="0"/>
          <w:numId w:val="1"/>
        </w:numPr>
      </w:pPr>
      <w:r>
        <w:t>a kültéri nyílászárók műanyagból készülnek,</w:t>
      </w:r>
    </w:p>
    <w:p w:rsidR="00D57281" w:rsidRDefault="00D57281" w:rsidP="00D57281">
      <w:pPr>
        <w:pStyle w:val="Listaszerbekezds"/>
        <w:numPr>
          <w:ilvl w:val="0"/>
          <w:numId w:val="1"/>
        </w:numPr>
      </w:pPr>
      <w:r>
        <w:t>ásványgyapot hőszigetelés helyett EPS hőszigetelés,</w:t>
      </w:r>
    </w:p>
    <w:p w:rsidR="00D57281" w:rsidRDefault="00D57281" w:rsidP="00D57281">
      <w:pPr>
        <w:pStyle w:val="Listaszerbekezds"/>
        <w:numPr>
          <w:ilvl w:val="0"/>
          <w:numId w:val="1"/>
        </w:numPr>
      </w:pPr>
      <w:r>
        <w:t>az árnyékoló rendszer automatikus rendszerű, motoros működtetésű helyett vezérlés nélküli, kéri működtetésű.</w:t>
      </w:r>
    </w:p>
    <w:p w:rsidR="00D57281" w:rsidRDefault="00D57281" w:rsidP="00D57281">
      <w:r>
        <w:t>Az Ajánlattevők a fenti eltéréseket figyelembe véve készítsék el ajánlatukat.</w:t>
      </w:r>
    </w:p>
    <w:sectPr w:rsidR="00D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AA7"/>
    <w:multiLevelType w:val="hybridMultilevel"/>
    <w:tmpl w:val="4950F1DE"/>
    <w:lvl w:ilvl="0" w:tplc="9FA2770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81"/>
    <w:rsid w:val="00985EE9"/>
    <w:rsid w:val="00C27244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0D67"/>
  <w15:chartTrackingRefBased/>
  <w15:docId w15:val="{FB59D974-1FD2-4626-A606-B04A8569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57281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3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D5728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D57281"/>
    <w:pPr>
      <w:spacing w:line="216" w:lineRule="auto"/>
    </w:pPr>
    <w:rPr>
      <w:rFonts w:ascii="Arial" w:hAnsi="Arial"/>
      <w:sz w:val="30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D5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2018-12-10T04:06:00Z</dcterms:created>
  <dcterms:modified xsi:type="dcterms:W3CDTF">2018-12-10T04:16:00Z</dcterms:modified>
</cp:coreProperties>
</file>